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C2" w:rsidRPr="0059178E" w:rsidRDefault="00647FC2" w:rsidP="0059178E">
      <w:pPr>
        <w:spacing w:line="240" w:lineRule="auto"/>
        <w:jc w:val="center"/>
        <w:rPr>
          <w:b/>
          <w:sz w:val="32"/>
          <w:szCs w:val="32"/>
        </w:rPr>
      </w:pPr>
      <w:r w:rsidRPr="0059178E">
        <w:rPr>
          <w:b/>
          <w:sz w:val="32"/>
          <w:szCs w:val="32"/>
        </w:rPr>
        <w:t>Uluslararası Mevzuatta Güvenli ve Sağlıklı Çalışma Koşullarına Sahip Olma Hakkı</w:t>
      </w:r>
    </w:p>
    <w:p w:rsidR="00647FC2" w:rsidRPr="0059178E" w:rsidRDefault="00647FC2" w:rsidP="0059178E">
      <w:pPr>
        <w:spacing w:line="240" w:lineRule="auto"/>
        <w:jc w:val="both"/>
        <w:rPr>
          <w:b/>
          <w:sz w:val="28"/>
          <w:szCs w:val="28"/>
        </w:rPr>
      </w:pPr>
    </w:p>
    <w:p w:rsidR="00647FC2" w:rsidRPr="0059178E" w:rsidRDefault="00647FC2" w:rsidP="0059178E">
      <w:pPr>
        <w:spacing w:line="240" w:lineRule="auto"/>
        <w:jc w:val="both"/>
        <w:rPr>
          <w:b/>
          <w:sz w:val="28"/>
          <w:szCs w:val="28"/>
        </w:rPr>
      </w:pPr>
    </w:p>
    <w:p w:rsidR="009645EC" w:rsidRPr="0059178E" w:rsidRDefault="009645EC" w:rsidP="0059178E">
      <w:pPr>
        <w:spacing w:line="240" w:lineRule="auto"/>
        <w:jc w:val="both"/>
        <w:rPr>
          <w:b/>
          <w:sz w:val="28"/>
          <w:szCs w:val="28"/>
        </w:rPr>
      </w:pPr>
      <w:r w:rsidRPr="0059178E">
        <w:rPr>
          <w:b/>
          <w:sz w:val="28"/>
          <w:szCs w:val="28"/>
        </w:rPr>
        <w:t>İNSAN HAKLARI EVRENSEL BEYANNAMESİ</w:t>
      </w:r>
      <w:r w:rsidR="00112948" w:rsidRPr="0059178E">
        <w:rPr>
          <w:rStyle w:val="DipnotBavurusu"/>
          <w:b/>
          <w:sz w:val="28"/>
          <w:szCs w:val="28"/>
        </w:rPr>
        <w:footnoteReference w:id="2"/>
      </w:r>
    </w:p>
    <w:p w:rsidR="009645EC" w:rsidRPr="0059178E" w:rsidRDefault="009645EC" w:rsidP="0059178E">
      <w:pPr>
        <w:spacing w:line="240" w:lineRule="auto"/>
        <w:jc w:val="both"/>
        <w:rPr>
          <w:rFonts w:cs="SabonTR-Bold"/>
          <w:b/>
          <w:sz w:val="28"/>
          <w:szCs w:val="28"/>
        </w:rPr>
      </w:pPr>
      <w:r w:rsidRPr="0059178E">
        <w:rPr>
          <w:rFonts w:cs="SabonTR-Bold"/>
          <w:b/>
          <w:sz w:val="28"/>
          <w:szCs w:val="28"/>
        </w:rPr>
        <w:t>Madde 23</w:t>
      </w:r>
    </w:p>
    <w:p w:rsidR="009645EC" w:rsidRPr="0059178E" w:rsidRDefault="009645EC" w:rsidP="0059178E">
      <w:pPr>
        <w:spacing w:line="240" w:lineRule="auto"/>
        <w:jc w:val="both"/>
        <w:rPr>
          <w:rFonts w:cs="SabonTR"/>
          <w:sz w:val="28"/>
          <w:szCs w:val="28"/>
        </w:rPr>
      </w:pPr>
      <w:r w:rsidRPr="0059178E">
        <w:rPr>
          <w:rFonts w:cs="SabonTR"/>
          <w:sz w:val="28"/>
          <w:szCs w:val="28"/>
        </w:rPr>
        <w:t>1. Her şahsın çalışmaya, işini serbestçe seçmeye, âdil ve elverişli çalış</w:t>
      </w:r>
      <w:r w:rsidR="00CA1FD2" w:rsidRPr="0059178E">
        <w:rPr>
          <w:rFonts w:cs="SabonTR"/>
          <w:sz w:val="28"/>
          <w:szCs w:val="28"/>
        </w:rPr>
        <w:t xml:space="preserve">ma </w:t>
      </w:r>
      <w:r w:rsidRPr="0059178E">
        <w:rPr>
          <w:rFonts w:cs="SabonTR"/>
          <w:sz w:val="28"/>
          <w:szCs w:val="28"/>
        </w:rPr>
        <w:t>şartları</w:t>
      </w:r>
      <w:r w:rsidR="00CA1FD2" w:rsidRPr="0059178E">
        <w:rPr>
          <w:rFonts w:cs="SabonTR"/>
          <w:sz w:val="28"/>
          <w:szCs w:val="28"/>
        </w:rPr>
        <w:t xml:space="preserve">na </w:t>
      </w:r>
      <w:r w:rsidRPr="0059178E">
        <w:rPr>
          <w:rFonts w:cs="SabonTR"/>
          <w:sz w:val="28"/>
          <w:szCs w:val="28"/>
        </w:rPr>
        <w:t>ve işsizlikten korunmaya hakkı vardır.</w:t>
      </w:r>
    </w:p>
    <w:p w:rsidR="009645EC" w:rsidRPr="0059178E" w:rsidRDefault="00581133" w:rsidP="0059178E">
      <w:pPr>
        <w:spacing w:line="240" w:lineRule="auto"/>
        <w:jc w:val="both"/>
        <w:rPr>
          <w:rFonts w:cs="SabonTR"/>
          <w:sz w:val="28"/>
          <w:szCs w:val="28"/>
        </w:rPr>
      </w:pPr>
      <w:r w:rsidRPr="0059178E">
        <w:rPr>
          <w:rFonts w:cs="SabonTR"/>
          <w:sz w:val="28"/>
          <w:szCs w:val="28"/>
        </w:rPr>
        <w:t>(…)</w:t>
      </w:r>
    </w:p>
    <w:p w:rsidR="009645EC" w:rsidRPr="0059178E" w:rsidRDefault="009645EC" w:rsidP="0059178E">
      <w:pPr>
        <w:spacing w:line="240" w:lineRule="auto"/>
        <w:jc w:val="both"/>
        <w:rPr>
          <w:rFonts w:cs="SabonTR"/>
          <w:sz w:val="28"/>
          <w:szCs w:val="28"/>
        </w:rPr>
      </w:pPr>
    </w:p>
    <w:p w:rsidR="009645EC" w:rsidRPr="0059178E" w:rsidRDefault="009645EC" w:rsidP="0059178E">
      <w:pPr>
        <w:spacing w:line="240" w:lineRule="auto"/>
        <w:jc w:val="both"/>
        <w:rPr>
          <w:rFonts w:cs="SabonTR"/>
          <w:b/>
          <w:sz w:val="28"/>
          <w:szCs w:val="28"/>
        </w:rPr>
      </w:pPr>
    </w:p>
    <w:p w:rsidR="009645EC" w:rsidRPr="0059178E" w:rsidRDefault="00CA1FD2" w:rsidP="0059178E">
      <w:pPr>
        <w:spacing w:line="240" w:lineRule="auto"/>
        <w:jc w:val="both"/>
        <w:rPr>
          <w:rFonts w:cs="Times New Roman"/>
          <w:sz w:val="28"/>
          <w:szCs w:val="28"/>
        </w:rPr>
      </w:pPr>
      <w:r w:rsidRPr="0059178E">
        <w:rPr>
          <w:rFonts w:cs="Times New Roman"/>
          <w:b/>
          <w:sz w:val="28"/>
          <w:szCs w:val="28"/>
        </w:rPr>
        <w:t>EKONOMİK, SOSYAL VE KÜLTÜREL HAKLARA İLİŞKİN ULUSLARARASI SÖZLEŞME</w:t>
      </w:r>
      <w:r w:rsidR="00112948" w:rsidRPr="0059178E">
        <w:rPr>
          <w:rStyle w:val="DipnotBavurusu"/>
          <w:rFonts w:cs="Times New Roman"/>
          <w:b/>
          <w:sz w:val="28"/>
          <w:szCs w:val="28"/>
        </w:rPr>
        <w:footnoteReference w:id="3"/>
      </w:r>
    </w:p>
    <w:p w:rsidR="00CA1FD2" w:rsidRPr="0059178E" w:rsidRDefault="00CA1FD2" w:rsidP="0059178E">
      <w:pPr>
        <w:spacing w:line="240" w:lineRule="auto"/>
        <w:jc w:val="both"/>
        <w:rPr>
          <w:rFonts w:cs="SabonTR-Bold"/>
          <w:b/>
          <w:sz w:val="28"/>
          <w:szCs w:val="28"/>
        </w:rPr>
      </w:pPr>
      <w:r w:rsidRPr="0059178E">
        <w:rPr>
          <w:rFonts w:cs="SabonTR-Bold"/>
          <w:b/>
          <w:sz w:val="28"/>
          <w:szCs w:val="28"/>
        </w:rPr>
        <w:t>BÖLÜM III</w:t>
      </w:r>
    </w:p>
    <w:p w:rsidR="00CA1FD2" w:rsidRPr="0059178E" w:rsidRDefault="00CA1FD2" w:rsidP="0059178E">
      <w:pPr>
        <w:spacing w:line="240" w:lineRule="auto"/>
        <w:jc w:val="both"/>
        <w:rPr>
          <w:rFonts w:cs="SabonTR-Bold"/>
          <w:sz w:val="28"/>
          <w:szCs w:val="28"/>
        </w:rPr>
      </w:pPr>
      <w:r w:rsidRPr="0059178E">
        <w:rPr>
          <w:rFonts w:cs="SabonTR-Bold"/>
          <w:b/>
          <w:sz w:val="28"/>
          <w:szCs w:val="28"/>
        </w:rPr>
        <w:t>Madde 6</w:t>
      </w:r>
    </w:p>
    <w:p w:rsidR="00CA1FD2" w:rsidRPr="0059178E" w:rsidRDefault="00CA1FD2" w:rsidP="0059178E">
      <w:pPr>
        <w:spacing w:line="240" w:lineRule="auto"/>
        <w:jc w:val="both"/>
        <w:rPr>
          <w:rFonts w:cs="SabonTR"/>
          <w:sz w:val="28"/>
          <w:szCs w:val="28"/>
        </w:rPr>
      </w:pPr>
      <w:r w:rsidRPr="0059178E">
        <w:rPr>
          <w:rFonts w:cs="SabonTR"/>
          <w:sz w:val="28"/>
          <w:szCs w:val="28"/>
        </w:rPr>
        <w:t>1. Bu Sözleşme’ye Taraf Devletler, herkesin serbestçe seçtiği ya da kabul ettiği bir işte çalışarak hayatını kazanma fırsatı veren çalışma hakkını tanırlar ve bu hakkın korunması için gerekli tedbirleri alırlar.</w:t>
      </w:r>
    </w:p>
    <w:p w:rsidR="00CA1FD2" w:rsidRPr="0059178E" w:rsidRDefault="00CA1FD2" w:rsidP="0059178E">
      <w:pPr>
        <w:spacing w:line="240" w:lineRule="auto"/>
        <w:jc w:val="both"/>
        <w:rPr>
          <w:rFonts w:cs="SabonTR"/>
          <w:sz w:val="28"/>
          <w:szCs w:val="28"/>
        </w:rPr>
      </w:pPr>
      <w:r w:rsidRPr="0059178E">
        <w:rPr>
          <w:rFonts w:cs="SabonTR"/>
          <w:sz w:val="28"/>
          <w:szCs w:val="28"/>
        </w:rPr>
        <w:t>2. Bu Sözleşme’ye Taraf bir Devletin, bu hakkı tam olarak gerçekleştirmek için</w:t>
      </w:r>
    </w:p>
    <w:p w:rsidR="00CA1FD2" w:rsidRPr="0059178E" w:rsidRDefault="00CA1FD2" w:rsidP="0059178E">
      <w:pPr>
        <w:spacing w:line="240" w:lineRule="auto"/>
        <w:jc w:val="both"/>
        <w:rPr>
          <w:rFonts w:cs="SabonTR"/>
          <w:sz w:val="28"/>
          <w:szCs w:val="28"/>
        </w:rPr>
      </w:pPr>
      <w:r w:rsidRPr="0059178E">
        <w:rPr>
          <w:rFonts w:cs="SabonTR"/>
          <w:sz w:val="28"/>
          <w:szCs w:val="28"/>
        </w:rPr>
        <w:t>alacağı tedbirler, teknik ve mesleki rehberlik ile eğitim programlarını, bireyin temel ekonomik ve siyasal özgürlüklerini koruyan şartlar altında, düzenli şekilde ekonomik, sosyal ve kültürel gelişimi ile tam ve üretken istihdamını sağlamaya yönelik politika ve teknikleri içermelidir.</w:t>
      </w:r>
    </w:p>
    <w:p w:rsidR="00CA1FD2" w:rsidRPr="0059178E" w:rsidRDefault="00CA1FD2" w:rsidP="0059178E">
      <w:pPr>
        <w:spacing w:line="240" w:lineRule="auto"/>
        <w:jc w:val="both"/>
        <w:rPr>
          <w:rFonts w:cs="SabonTR"/>
          <w:sz w:val="28"/>
          <w:szCs w:val="28"/>
        </w:rPr>
      </w:pPr>
    </w:p>
    <w:p w:rsidR="00112948" w:rsidRPr="0059178E" w:rsidRDefault="00112948" w:rsidP="0059178E">
      <w:pPr>
        <w:spacing w:line="240" w:lineRule="auto"/>
        <w:jc w:val="both"/>
        <w:rPr>
          <w:rFonts w:cs="SabonTR-Bold"/>
          <w:b/>
          <w:sz w:val="28"/>
          <w:szCs w:val="28"/>
        </w:rPr>
      </w:pPr>
    </w:p>
    <w:p w:rsidR="00CA1FD2" w:rsidRPr="0059178E" w:rsidRDefault="00CA1FD2" w:rsidP="0059178E">
      <w:pPr>
        <w:spacing w:line="240" w:lineRule="auto"/>
        <w:jc w:val="both"/>
        <w:rPr>
          <w:rFonts w:cs="SabonTR-Bold"/>
          <w:b/>
          <w:sz w:val="28"/>
          <w:szCs w:val="28"/>
        </w:rPr>
      </w:pPr>
      <w:r w:rsidRPr="0059178E">
        <w:rPr>
          <w:rFonts w:cs="SabonTR-Bold"/>
          <w:b/>
          <w:sz w:val="28"/>
          <w:szCs w:val="28"/>
        </w:rPr>
        <w:lastRenderedPageBreak/>
        <w:t>Madde 7</w:t>
      </w:r>
    </w:p>
    <w:p w:rsidR="00CA1FD2" w:rsidRPr="0059178E" w:rsidRDefault="00CA1FD2" w:rsidP="0059178E">
      <w:pPr>
        <w:spacing w:line="240" w:lineRule="auto"/>
        <w:jc w:val="both"/>
        <w:rPr>
          <w:rFonts w:cs="SabonTR"/>
          <w:sz w:val="28"/>
          <w:szCs w:val="28"/>
        </w:rPr>
      </w:pPr>
      <w:r w:rsidRPr="0059178E">
        <w:rPr>
          <w:rFonts w:cs="SabonTR"/>
          <w:sz w:val="28"/>
          <w:szCs w:val="28"/>
        </w:rPr>
        <w:t>Bu Sözleşme’ye Taraf Devletler, herkesin adil ve elverişli çalışma koşullarından yararlanmak hakkını kabul ederler. Bu hak özellikle şunları güvence altına alır:</w:t>
      </w:r>
    </w:p>
    <w:p w:rsidR="000F6372" w:rsidRPr="0059178E" w:rsidRDefault="000F6372" w:rsidP="0059178E">
      <w:pPr>
        <w:spacing w:line="240" w:lineRule="auto"/>
        <w:jc w:val="both"/>
        <w:rPr>
          <w:rFonts w:cs="SabonTR"/>
          <w:sz w:val="28"/>
          <w:szCs w:val="28"/>
        </w:rPr>
      </w:pPr>
      <w:r w:rsidRPr="0059178E">
        <w:rPr>
          <w:rFonts w:cs="SabonTR"/>
          <w:sz w:val="28"/>
          <w:szCs w:val="28"/>
        </w:rPr>
        <w:t>(…)</w:t>
      </w:r>
    </w:p>
    <w:p w:rsidR="00CA1FD2" w:rsidRPr="0059178E" w:rsidRDefault="000F6372" w:rsidP="0059178E">
      <w:pPr>
        <w:spacing w:line="240" w:lineRule="auto"/>
        <w:jc w:val="both"/>
        <w:rPr>
          <w:rFonts w:cs="SabonTR"/>
          <w:sz w:val="28"/>
          <w:szCs w:val="28"/>
        </w:rPr>
      </w:pPr>
      <w:r w:rsidRPr="0059178E">
        <w:rPr>
          <w:rFonts w:cs="SabonTR"/>
          <w:sz w:val="28"/>
          <w:szCs w:val="28"/>
        </w:rPr>
        <w:t xml:space="preserve"> </w:t>
      </w:r>
      <w:r w:rsidR="00CA1FD2" w:rsidRPr="0059178E">
        <w:rPr>
          <w:rFonts w:cs="SabonTR"/>
          <w:sz w:val="28"/>
          <w:szCs w:val="28"/>
        </w:rPr>
        <w:t>(b) Güvenli ve sağlıklı çalışma koşulları;</w:t>
      </w:r>
    </w:p>
    <w:p w:rsidR="00980D40" w:rsidRPr="0059178E" w:rsidRDefault="000F6372" w:rsidP="0059178E">
      <w:pPr>
        <w:spacing w:line="240" w:lineRule="auto"/>
        <w:jc w:val="both"/>
        <w:rPr>
          <w:rFonts w:cs="SabonTR"/>
          <w:sz w:val="28"/>
          <w:szCs w:val="28"/>
        </w:rPr>
      </w:pPr>
      <w:r w:rsidRPr="0059178E">
        <w:rPr>
          <w:rFonts w:cs="SabonTR"/>
          <w:sz w:val="28"/>
          <w:szCs w:val="28"/>
        </w:rPr>
        <w:t>(…)</w:t>
      </w:r>
    </w:p>
    <w:p w:rsidR="00980D40" w:rsidRPr="0059178E" w:rsidRDefault="00980D40" w:rsidP="0059178E">
      <w:pPr>
        <w:spacing w:line="240" w:lineRule="auto"/>
        <w:jc w:val="both"/>
        <w:rPr>
          <w:rFonts w:cs="SabonTR"/>
          <w:sz w:val="28"/>
          <w:szCs w:val="28"/>
        </w:rPr>
      </w:pPr>
    </w:p>
    <w:p w:rsidR="00330ECF" w:rsidRPr="0059178E" w:rsidRDefault="00330ECF" w:rsidP="0059178E">
      <w:pPr>
        <w:spacing w:line="240" w:lineRule="auto"/>
        <w:jc w:val="both"/>
        <w:rPr>
          <w:rFonts w:cs="SabonTR"/>
          <w:sz w:val="28"/>
          <w:szCs w:val="28"/>
        </w:rPr>
      </w:pPr>
    </w:p>
    <w:p w:rsidR="00330ECF" w:rsidRPr="0059178E" w:rsidRDefault="00330ECF" w:rsidP="0059178E">
      <w:pPr>
        <w:spacing w:line="240" w:lineRule="auto"/>
        <w:jc w:val="both"/>
        <w:rPr>
          <w:rFonts w:cs="SabonTR"/>
          <w:sz w:val="28"/>
          <w:szCs w:val="28"/>
        </w:rPr>
      </w:pPr>
    </w:p>
    <w:p w:rsidR="00154613" w:rsidRPr="0059178E" w:rsidRDefault="00154613" w:rsidP="0059178E">
      <w:pPr>
        <w:spacing w:line="240" w:lineRule="auto"/>
        <w:jc w:val="both"/>
        <w:rPr>
          <w:rFonts w:cs="SabonTR"/>
          <w:b/>
          <w:sz w:val="28"/>
          <w:szCs w:val="28"/>
        </w:rPr>
      </w:pPr>
      <w:r w:rsidRPr="0059178E">
        <w:rPr>
          <w:rFonts w:cs="SabonTR"/>
          <w:b/>
          <w:sz w:val="28"/>
          <w:szCs w:val="28"/>
        </w:rPr>
        <w:t>AVRUPA SOSYAL ŞARTI</w:t>
      </w:r>
      <w:r w:rsidR="002F7A7C" w:rsidRPr="0059178E">
        <w:rPr>
          <w:rStyle w:val="DipnotBavurusu"/>
          <w:rFonts w:cs="SabonTR"/>
          <w:b/>
          <w:sz w:val="28"/>
          <w:szCs w:val="28"/>
        </w:rPr>
        <w:footnoteReference w:id="4"/>
      </w:r>
    </w:p>
    <w:p w:rsidR="002F7A7C" w:rsidRPr="0059178E" w:rsidRDefault="001C7B7D" w:rsidP="0059178E">
      <w:pPr>
        <w:spacing w:line="240" w:lineRule="auto"/>
        <w:jc w:val="both"/>
        <w:rPr>
          <w:rFonts w:cs="SabonTR"/>
          <w:b/>
          <w:sz w:val="28"/>
          <w:szCs w:val="28"/>
        </w:rPr>
      </w:pPr>
      <w:r w:rsidRPr="0059178E">
        <w:rPr>
          <w:rFonts w:cs="SabonTR"/>
          <w:b/>
          <w:sz w:val="28"/>
          <w:szCs w:val="28"/>
        </w:rPr>
        <w:t xml:space="preserve">Bölüm l </w:t>
      </w:r>
      <w:r w:rsidRPr="0059178E">
        <w:rPr>
          <w:rFonts w:cs="SabonTR"/>
          <w:b/>
          <w:sz w:val="28"/>
          <w:szCs w:val="28"/>
        </w:rPr>
        <w:cr/>
      </w:r>
    </w:p>
    <w:p w:rsidR="001C7B7D" w:rsidRPr="0059178E" w:rsidRDefault="001C7B7D" w:rsidP="0059178E">
      <w:pPr>
        <w:spacing w:line="240" w:lineRule="auto"/>
        <w:jc w:val="both"/>
        <w:rPr>
          <w:rFonts w:cs="SabonTR"/>
          <w:b/>
          <w:sz w:val="28"/>
          <w:szCs w:val="28"/>
        </w:rPr>
      </w:pPr>
      <w:r w:rsidRPr="0059178E">
        <w:rPr>
          <w:rFonts w:cs="SabonTR"/>
          <w:b/>
          <w:sz w:val="28"/>
          <w:szCs w:val="28"/>
        </w:rPr>
        <w:t>Madde-3</w:t>
      </w:r>
      <w:r w:rsidR="00893DD9" w:rsidRPr="0059178E">
        <w:rPr>
          <w:rFonts w:cs="SabonTR"/>
          <w:b/>
          <w:sz w:val="28"/>
          <w:szCs w:val="28"/>
        </w:rPr>
        <w:t xml:space="preserve"> </w:t>
      </w:r>
      <w:r w:rsidR="00893DD9" w:rsidRPr="0059178E">
        <w:rPr>
          <w:rFonts w:cs="SabonTR"/>
          <w:sz w:val="28"/>
          <w:szCs w:val="28"/>
        </w:rPr>
        <w:t xml:space="preserve">Tüm çalışanların güvenli ve sağlıklı çalışma koşullarına sahip olma hakkı vardır. </w:t>
      </w:r>
      <w:r w:rsidR="00893DD9" w:rsidRPr="0059178E">
        <w:rPr>
          <w:rFonts w:cs="SabonTR"/>
          <w:sz w:val="28"/>
          <w:szCs w:val="28"/>
        </w:rPr>
        <w:cr/>
      </w:r>
    </w:p>
    <w:p w:rsidR="00893DD9" w:rsidRPr="0059178E" w:rsidRDefault="00893DD9" w:rsidP="0059178E">
      <w:pPr>
        <w:spacing w:line="240" w:lineRule="auto"/>
        <w:jc w:val="both"/>
        <w:rPr>
          <w:rFonts w:cs="SabonTR"/>
          <w:b/>
          <w:sz w:val="28"/>
          <w:szCs w:val="28"/>
        </w:rPr>
      </w:pPr>
      <w:r w:rsidRPr="0059178E">
        <w:rPr>
          <w:rFonts w:cs="SabonTR"/>
          <w:b/>
          <w:sz w:val="28"/>
          <w:szCs w:val="28"/>
        </w:rPr>
        <w:t xml:space="preserve">Bölüm 2 </w:t>
      </w:r>
    </w:p>
    <w:p w:rsidR="00154613" w:rsidRPr="0059178E" w:rsidRDefault="00154613" w:rsidP="0059178E">
      <w:pPr>
        <w:spacing w:line="240" w:lineRule="auto"/>
        <w:jc w:val="both"/>
        <w:rPr>
          <w:rFonts w:cs="SabonTR"/>
          <w:b/>
          <w:sz w:val="28"/>
          <w:szCs w:val="28"/>
        </w:rPr>
      </w:pPr>
      <w:r w:rsidRPr="0059178E">
        <w:rPr>
          <w:rFonts w:cs="Times New Roman"/>
          <w:b/>
          <w:sz w:val="28"/>
          <w:szCs w:val="28"/>
        </w:rPr>
        <w:t>Madde 3 - Güvenli ve sağlıklı çalışma koşulları hakkı</w:t>
      </w:r>
    </w:p>
    <w:p w:rsidR="00154613" w:rsidRPr="0059178E" w:rsidRDefault="00154613" w:rsidP="0059178E">
      <w:pPr>
        <w:spacing w:line="240" w:lineRule="auto"/>
        <w:jc w:val="both"/>
        <w:rPr>
          <w:rFonts w:cs="Times New Roman"/>
          <w:sz w:val="28"/>
          <w:szCs w:val="28"/>
        </w:rPr>
      </w:pPr>
      <w:r w:rsidRPr="0059178E">
        <w:rPr>
          <w:rFonts w:cs="Times New Roman"/>
          <w:sz w:val="28"/>
          <w:szCs w:val="28"/>
        </w:rPr>
        <w:t xml:space="preserve">Akit Taraflar, güvenli ve sağlıklı çalışma koşulları hakkının etkin biçimde kullanılmasını sağlamak üzere: </w:t>
      </w:r>
    </w:p>
    <w:p w:rsidR="00154613" w:rsidRPr="0059178E" w:rsidRDefault="00154613" w:rsidP="0059178E">
      <w:pPr>
        <w:spacing w:line="240" w:lineRule="auto"/>
        <w:jc w:val="both"/>
        <w:rPr>
          <w:rFonts w:cs="Times New Roman"/>
          <w:sz w:val="28"/>
          <w:szCs w:val="28"/>
        </w:rPr>
      </w:pPr>
      <w:r w:rsidRPr="0059178E">
        <w:rPr>
          <w:rFonts w:cs="Times New Roman"/>
          <w:sz w:val="28"/>
          <w:szCs w:val="28"/>
        </w:rPr>
        <w:t xml:space="preserve"> 1 Güvenlik ve sağlık alanında yasal düzenlemeler yapmayı; </w:t>
      </w:r>
    </w:p>
    <w:p w:rsidR="00154613" w:rsidRPr="0059178E" w:rsidRDefault="00154613" w:rsidP="0059178E">
      <w:pPr>
        <w:spacing w:line="240" w:lineRule="auto"/>
        <w:jc w:val="both"/>
        <w:rPr>
          <w:rFonts w:cs="Times New Roman"/>
          <w:sz w:val="28"/>
          <w:szCs w:val="28"/>
        </w:rPr>
      </w:pPr>
      <w:r w:rsidRPr="0059178E">
        <w:rPr>
          <w:rFonts w:cs="Times New Roman"/>
          <w:sz w:val="28"/>
          <w:szCs w:val="28"/>
        </w:rPr>
        <w:t xml:space="preserve">2 Gözetim önlemleriyle bu düzenlemelerin uygulanmasını sağlamayı; </w:t>
      </w:r>
    </w:p>
    <w:p w:rsidR="00705031" w:rsidRPr="0059178E" w:rsidRDefault="00154613" w:rsidP="0059178E">
      <w:pPr>
        <w:spacing w:line="240" w:lineRule="auto"/>
        <w:jc w:val="both"/>
        <w:rPr>
          <w:sz w:val="28"/>
          <w:szCs w:val="28"/>
        </w:rPr>
      </w:pPr>
      <w:r w:rsidRPr="0059178E">
        <w:rPr>
          <w:rFonts w:cs="Times New Roman"/>
          <w:sz w:val="28"/>
          <w:szCs w:val="28"/>
        </w:rPr>
        <w:t xml:space="preserve">3 Gerektiğinde iş güvenliği ve sağlığını geliştirmeyi amaçlayan önlemler konusunda </w:t>
      </w:r>
      <w:r w:rsidRPr="0059178E">
        <w:rPr>
          <w:sz w:val="28"/>
          <w:szCs w:val="28"/>
        </w:rPr>
        <w:t xml:space="preserve">çalıştıranların ve çalışanların örgütlerine danışmayı taahhüt edeler. </w:t>
      </w:r>
    </w:p>
    <w:p w:rsidR="004772FB" w:rsidRPr="0059178E" w:rsidRDefault="004772FB" w:rsidP="0059178E">
      <w:pPr>
        <w:spacing w:line="240" w:lineRule="auto"/>
        <w:jc w:val="both"/>
        <w:rPr>
          <w:sz w:val="28"/>
          <w:szCs w:val="28"/>
        </w:rPr>
      </w:pPr>
      <w:r w:rsidRPr="0059178E">
        <w:rPr>
          <w:sz w:val="28"/>
          <w:szCs w:val="28"/>
        </w:rPr>
        <w:t>(…)</w:t>
      </w:r>
    </w:p>
    <w:p w:rsidR="00705031" w:rsidRPr="0059178E" w:rsidRDefault="00705031" w:rsidP="0059178E">
      <w:pPr>
        <w:spacing w:line="240" w:lineRule="auto"/>
        <w:jc w:val="both"/>
        <w:rPr>
          <w:rFonts w:cs="Times New Roman"/>
          <w:b/>
          <w:sz w:val="28"/>
          <w:szCs w:val="28"/>
        </w:rPr>
      </w:pPr>
    </w:p>
    <w:sectPr w:rsidR="00705031" w:rsidRPr="0059178E" w:rsidSect="00061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948" w:rsidRDefault="00112948" w:rsidP="00112948">
      <w:pPr>
        <w:spacing w:after="0" w:line="240" w:lineRule="auto"/>
      </w:pPr>
      <w:r>
        <w:separator/>
      </w:r>
    </w:p>
  </w:endnote>
  <w:endnote w:type="continuationSeparator" w:id="1">
    <w:p w:rsidR="00112948" w:rsidRDefault="00112948" w:rsidP="00112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SabonTR-Bold">
    <w:panose1 w:val="00000000000000000000"/>
    <w:charset w:val="A2"/>
    <w:family w:val="auto"/>
    <w:notTrueType/>
    <w:pitch w:val="default"/>
    <w:sig w:usb0="00000005" w:usb1="00000000" w:usb2="00000000" w:usb3="00000000" w:csb0="00000010" w:csb1="00000000"/>
  </w:font>
  <w:font w:name="SabonTR">
    <w:panose1 w:val="00000000000000000000"/>
    <w:charset w:val="A2"/>
    <w:family w:val="auto"/>
    <w:notTrueType/>
    <w:pitch w:val="default"/>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948" w:rsidRDefault="00112948" w:rsidP="00112948">
      <w:pPr>
        <w:spacing w:after="0" w:line="240" w:lineRule="auto"/>
      </w:pPr>
      <w:r>
        <w:separator/>
      </w:r>
    </w:p>
  </w:footnote>
  <w:footnote w:type="continuationSeparator" w:id="1">
    <w:p w:rsidR="00112948" w:rsidRDefault="00112948" w:rsidP="00112948">
      <w:pPr>
        <w:spacing w:after="0" w:line="240" w:lineRule="auto"/>
      </w:pPr>
      <w:r>
        <w:continuationSeparator/>
      </w:r>
    </w:p>
  </w:footnote>
  <w:footnote w:id="2">
    <w:p w:rsidR="00112948" w:rsidRDefault="00112948">
      <w:pPr>
        <w:pStyle w:val="DipnotMetni"/>
        <w:rPr>
          <w:rFonts w:eastAsia="Times New Roman" w:cs="Times New Roman"/>
          <w:bCs/>
        </w:rPr>
      </w:pPr>
      <w:r>
        <w:rPr>
          <w:rStyle w:val="DipnotBavurusu"/>
        </w:rPr>
        <w:footnoteRef/>
      </w:r>
      <w:r>
        <w:t xml:space="preserve"> </w:t>
      </w:r>
      <w:r w:rsidRPr="00DC6804">
        <w:rPr>
          <w:rFonts w:eastAsia="Times New Roman" w:cs="Times New Roman"/>
          <w:bCs/>
        </w:rPr>
        <w:t xml:space="preserve">İnsan Hakları </w:t>
      </w:r>
      <w:r>
        <w:rPr>
          <w:rFonts w:eastAsia="Times New Roman" w:cs="Times New Roman"/>
          <w:bCs/>
        </w:rPr>
        <w:t xml:space="preserve">Evrensel Beyannamesi tam metni </w:t>
      </w:r>
      <w:hyperlink r:id="rId1" w:history="1">
        <w:r w:rsidRPr="001D3D02">
          <w:rPr>
            <w:rStyle w:val="Kpr"/>
            <w:rFonts w:eastAsia="Times New Roman" w:cs="Times New Roman"/>
            <w:bCs/>
          </w:rPr>
          <w:t>http://insanhaklarisavunuculari.org/dokumantasyon/items/show/119</w:t>
        </w:r>
      </w:hyperlink>
      <w:r>
        <w:rPr>
          <w:rFonts w:eastAsia="Times New Roman" w:cs="Times New Roman"/>
          <w:bCs/>
        </w:rPr>
        <w:t xml:space="preserve"> web sitesinde mevcuttur.</w:t>
      </w:r>
    </w:p>
    <w:p w:rsidR="00112948" w:rsidRDefault="00112948">
      <w:pPr>
        <w:pStyle w:val="DipnotMetni"/>
      </w:pPr>
    </w:p>
  </w:footnote>
  <w:footnote w:id="3">
    <w:p w:rsidR="00112948" w:rsidRDefault="00112948" w:rsidP="00112948">
      <w:pPr>
        <w:pStyle w:val="DipnotMetni"/>
      </w:pPr>
      <w:r>
        <w:rPr>
          <w:rStyle w:val="DipnotBavurusu"/>
        </w:rPr>
        <w:footnoteRef/>
      </w:r>
      <w:r>
        <w:t xml:space="preserve"> Ekonomik Sosyal ve Kültürel Haklar Sözleşmesi tam metni </w:t>
      </w:r>
      <w:hyperlink r:id="rId2" w:history="1">
        <w:r w:rsidRPr="001D3D02">
          <w:rPr>
            <w:rStyle w:val="Kpr"/>
          </w:rPr>
          <w:t>http://insanhaklarisavunuculari.org/dokumantasyon/items/show/114</w:t>
        </w:r>
      </w:hyperlink>
      <w:r>
        <w:t xml:space="preserve"> web sitesinde mevcuttur.</w:t>
      </w:r>
    </w:p>
    <w:p w:rsidR="00112948" w:rsidRDefault="00112948">
      <w:pPr>
        <w:pStyle w:val="DipnotMetni"/>
      </w:pPr>
    </w:p>
  </w:footnote>
  <w:footnote w:id="4">
    <w:p w:rsidR="002F7A7C" w:rsidRDefault="002F7A7C" w:rsidP="002F7A7C">
      <w:pPr>
        <w:pStyle w:val="DipnotMetni"/>
      </w:pPr>
      <w:r>
        <w:rPr>
          <w:rStyle w:val="DipnotBavurusu"/>
        </w:rPr>
        <w:footnoteRef/>
      </w:r>
      <w:r>
        <w:t xml:space="preserve"> Avrupa Sosyal Şartı ve Ek Protokoller </w:t>
      </w:r>
      <w:hyperlink r:id="rId3" w:history="1">
        <w:r w:rsidRPr="001D3D02">
          <w:rPr>
            <w:rStyle w:val="Kpr"/>
          </w:rPr>
          <w:t>http://insanhaklarisavunuculari.org/dokumantasyon/items/show/30</w:t>
        </w:r>
      </w:hyperlink>
      <w:r>
        <w:t xml:space="preserve"> web sitesinde mevcuttur.</w:t>
      </w:r>
    </w:p>
    <w:p w:rsidR="002F7A7C" w:rsidRDefault="002F7A7C">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F7E08"/>
    <w:multiLevelType w:val="hybridMultilevel"/>
    <w:tmpl w:val="B0449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0"/>
    <w:footnote w:id="1"/>
  </w:footnotePr>
  <w:endnotePr>
    <w:endnote w:id="0"/>
    <w:endnote w:id="1"/>
  </w:endnotePr>
  <w:compat/>
  <w:rsids>
    <w:rsidRoot w:val="009645EC"/>
    <w:rsid w:val="00016CD6"/>
    <w:rsid w:val="00031196"/>
    <w:rsid w:val="00061743"/>
    <w:rsid w:val="000F6372"/>
    <w:rsid w:val="00112948"/>
    <w:rsid w:val="00154613"/>
    <w:rsid w:val="00182AB7"/>
    <w:rsid w:val="001C7B7D"/>
    <w:rsid w:val="00253685"/>
    <w:rsid w:val="00270288"/>
    <w:rsid w:val="002A1409"/>
    <w:rsid w:val="002F23B0"/>
    <w:rsid w:val="002F7A7C"/>
    <w:rsid w:val="00330ECF"/>
    <w:rsid w:val="004772FB"/>
    <w:rsid w:val="00514BA4"/>
    <w:rsid w:val="00581133"/>
    <w:rsid w:val="0059178E"/>
    <w:rsid w:val="00647FC2"/>
    <w:rsid w:val="00654EA8"/>
    <w:rsid w:val="006B4865"/>
    <w:rsid w:val="00705031"/>
    <w:rsid w:val="007E405E"/>
    <w:rsid w:val="00893DD9"/>
    <w:rsid w:val="008A3F47"/>
    <w:rsid w:val="00960D22"/>
    <w:rsid w:val="009645EC"/>
    <w:rsid w:val="00980D40"/>
    <w:rsid w:val="00993598"/>
    <w:rsid w:val="00A77AA8"/>
    <w:rsid w:val="00AE2369"/>
    <w:rsid w:val="00AF02CB"/>
    <w:rsid w:val="00AF69BC"/>
    <w:rsid w:val="00B3780D"/>
    <w:rsid w:val="00B51CA9"/>
    <w:rsid w:val="00B548D3"/>
    <w:rsid w:val="00B670A5"/>
    <w:rsid w:val="00C50126"/>
    <w:rsid w:val="00C72683"/>
    <w:rsid w:val="00CA1FD2"/>
    <w:rsid w:val="00D46249"/>
    <w:rsid w:val="00E21AF9"/>
    <w:rsid w:val="00EA0201"/>
    <w:rsid w:val="00F60DCB"/>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paragraph" w:styleId="Balk1">
    <w:name w:val="heading 1"/>
    <w:basedOn w:val="Normal"/>
    <w:next w:val="Normal"/>
    <w:link w:val="Balk1Char"/>
    <w:uiPriority w:val="9"/>
    <w:qFormat/>
    <w:rsid w:val="00154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5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54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1FD2"/>
    <w:pPr>
      <w:ind w:left="720"/>
      <w:contextualSpacing/>
    </w:pPr>
  </w:style>
  <w:style w:type="paragraph" w:styleId="AralkYok">
    <w:name w:val="No Spacing"/>
    <w:uiPriority w:val="1"/>
    <w:qFormat/>
    <w:rsid w:val="00154613"/>
    <w:pPr>
      <w:spacing w:after="0" w:line="240" w:lineRule="auto"/>
    </w:pPr>
    <w:rPr>
      <w:noProof/>
    </w:rPr>
  </w:style>
  <w:style w:type="character" w:customStyle="1" w:styleId="Balk1Char">
    <w:name w:val="Başlık 1 Char"/>
    <w:basedOn w:val="VarsaylanParagrafYazTipi"/>
    <w:link w:val="Balk1"/>
    <w:uiPriority w:val="9"/>
    <w:rsid w:val="00154613"/>
    <w:rPr>
      <w:rFonts w:asciiTheme="majorHAnsi" w:eastAsiaTheme="majorEastAsia" w:hAnsiTheme="majorHAnsi" w:cstheme="majorBidi"/>
      <w:b/>
      <w:bCs/>
      <w:noProof/>
      <w:color w:val="365F91" w:themeColor="accent1" w:themeShade="BF"/>
      <w:sz w:val="28"/>
      <w:szCs w:val="28"/>
    </w:rPr>
  </w:style>
  <w:style w:type="character" w:customStyle="1" w:styleId="Balk2Char">
    <w:name w:val="Başlık 2 Char"/>
    <w:basedOn w:val="VarsaylanParagrafYazTipi"/>
    <w:link w:val="Balk2"/>
    <w:uiPriority w:val="9"/>
    <w:rsid w:val="00154613"/>
    <w:rPr>
      <w:rFonts w:asciiTheme="majorHAnsi" w:eastAsiaTheme="majorEastAsia" w:hAnsiTheme="majorHAnsi" w:cstheme="majorBidi"/>
      <w:b/>
      <w:bCs/>
      <w:noProof/>
      <w:color w:val="4F81BD" w:themeColor="accent1"/>
      <w:sz w:val="26"/>
      <w:szCs w:val="26"/>
    </w:rPr>
  </w:style>
  <w:style w:type="character" w:customStyle="1" w:styleId="Balk3Char">
    <w:name w:val="Başlık 3 Char"/>
    <w:basedOn w:val="VarsaylanParagrafYazTipi"/>
    <w:link w:val="Balk3"/>
    <w:uiPriority w:val="9"/>
    <w:rsid w:val="00154613"/>
    <w:rPr>
      <w:rFonts w:asciiTheme="majorHAnsi" w:eastAsiaTheme="majorEastAsia" w:hAnsiTheme="majorHAnsi" w:cstheme="majorBidi"/>
      <w:b/>
      <w:bCs/>
      <w:noProof/>
      <w:color w:val="4F81BD" w:themeColor="accent1"/>
    </w:rPr>
  </w:style>
  <w:style w:type="paragraph" w:styleId="DipnotMetni">
    <w:name w:val="footnote text"/>
    <w:basedOn w:val="Normal"/>
    <w:link w:val="DipnotMetniChar"/>
    <w:uiPriority w:val="99"/>
    <w:semiHidden/>
    <w:unhideWhenUsed/>
    <w:rsid w:val="001129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12948"/>
    <w:rPr>
      <w:noProof/>
      <w:sz w:val="20"/>
      <w:szCs w:val="20"/>
    </w:rPr>
  </w:style>
  <w:style w:type="character" w:styleId="DipnotBavurusu">
    <w:name w:val="footnote reference"/>
    <w:basedOn w:val="VarsaylanParagrafYazTipi"/>
    <w:uiPriority w:val="99"/>
    <w:semiHidden/>
    <w:unhideWhenUsed/>
    <w:rsid w:val="00112948"/>
    <w:rPr>
      <w:vertAlign w:val="superscript"/>
    </w:rPr>
  </w:style>
  <w:style w:type="character" w:styleId="Kpr">
    <w:name w:val="Hyperlink"/>
    <w:basedOn w:val="VarsaylanParagrafYazTipi"/>
    <w:uiPriority w:val="99"/>
    <w:unhideWhenUsed/>
    <w:rsid w:val="00112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nsanhaklarisavunuculari.org/dokumantasyon/items/show/30" TargetMode="External"/><Relationship Id="rId2" Type="http://schemas.openxmlformats.org/officeDocument/2006/relationships/hyperlink" Target="http://insanhaklarisavunuculari.org/dokumantasyon/items/show/114" TargetMode="External"/><Relationship Id="rId1" Type="http://schemas.openxmlformats.org/officeDocument/2006/relationships/hyperlink" Target="http://insanhaklarisavunuculari.org/dokumantasyon/items/show/11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D5B6-958F-4208-BD8F-82AEFBC3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Windows-XP</cp:lastModifiedBy>
  <cp:revision>24</cp:revision>
  <dcterms:created xsi:type="dcterms:W3CDTF">2014-11-04T08:35:00Z</dcterms:created>
  <dcterms:modified xsi:type="dcterms:W3CDTF">2014-11-07T21:17:00Z</dcterms:modified>
</cp:coreProperties>
</file>